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83" w:rsidRPr="003A0483" w:rsidRDefault="003A0483" w:rsidP="003A0483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3A0483" w:rsidRPr="003A0483" w:rsidRDefault="003A0483" w:rsidP="003A0483">
      <w:pPr>
        <w:pBdr>
          <w:top w:val="single" w:sz="2" w:space="0" w:color="F3F3F3"/>
          <w:left w:val="single" w:sz="2" w:space="0" w:color="F3F3F3"/>
          <w:bottom w:val="single" w:sz="2" w:space="31" w:color="F3F3F3"/>
          <w:right w:val="single" w:sz="2" w:space="0" w:color="F3F3F3"/>
        </w:pBdr>
        <w:spacing w:after="300" w:line="240" w:lineRule="auto"/>
        <w:textAlignment w:val="baseline"/>
        <w:rPr>
          <w:rFonts w:ascii="Century Gothic" w:eastAsia="Times New Roman" w:hAnsi="Century Gothic" w:cs="Times New Roman"/>
          <w:b/>
          <w:color w:val="0D0D0D" w:themeColor="text1" w:themeTint="F2"/>
          <w:sz w:val="24"/>
          <w:szCs w:val="24"/>
        </w:rPr>
      </w:pPr>
      <w:r w:rsidRPr="003A0483">
        <w:rPr>
          <w:rFonts w:ascii="Century Gothic" w:eastAsia="Times New Roman" w:hAnsi="Century Gothic" w:cs="Times New Roman"/>
          <w:b/>
          <w:color w:val="0D0D0D" w:themeColor="text1" w:themeTint="F2"/>
          <w:sz w:val="24"/>
          <w:szCs w:val="24"/>
        </w:rPr>
        <w:t>Executive Summary</w:t>
      </w:r>
    </w:p>
    <w:p w:rsidR="003A0483" w:rsidRPr="003A0483" w:rsidRDefault="003A0483" w:rsidP="003A0483">
      <w:pPr>
        <w:pBdr>
          <w:top w:val="single" w:sz="2" w:space="0" w:color="F3F3F3"/>
          <w:left w:val="single" w:sz="2" w:space="0" w:color="F3F3F3"/>
          <w:bottom w:val="single" w:sz="2" w:space="31" w:color="F3F3F3"/>
          <w:right w:val="single" w:sz="2" w:space="0" w:color="F3F3F3"/>
        </w:pBdr>
        <w:spacing w:line="240" w:lineRule="auto"/>
        <w:textAlignment w:val="baseline"/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</w:pPr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Kit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Yamoyo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 Transition to Scale Adapting to Challenging Environments (KYTS-ACE) report has been updated to capture activities implemented after 12th October 2016. The report is a reflection of actions taken to fulfill Strategic Area 2 intervention #7 provision of Zinc during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diarrhoea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. Hence some activities may be seen as repetition of activities already reported in July to September 2016. The official project close-up was June 2016, but we had secured two extensions, the first (July to August) was a non-cost extension to enable us implement some activities that could not be implement by June, the second (September to October) was a cost extension to enable us continue monitoring sales and supply of GRZ ORSZ Co-pack. The project facilitated the supply of 452, 000 ORS and Zinc Co-pack to 11 districts (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Chinsali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Mbala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Kaputa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Shangombo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Chipata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Lundazi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, Mansa,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Samfya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, Zambezi,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Mwinilunga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 and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Kalabo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 xml:space="preserve">). And to achieve the set milestone, KZF employed a three prolonged approach: Catalytic-had Shoprite and micro-retailers, Public-supply to district hospital through ORS/Z procured directly by SUN FUND and Private-purely intensive training of micro-retailers to stock ORS/Z. The key partners/ collaborators under this intervention were </w:t>
      </w:r>
      <w:proofErr w:type="spellStart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Pharmanova</w:t>
      </w:r>
      <w:proofErr w:type="spellEnd"/>
      <w:r w:rsidRPr="003A0483">
        <w:rPr>
          <w:rFonts w:ascii="Century Gothic" w:eastAsia="Times New Roman" w:hAnsi="Century Gothic" w:cs="Times New Roman"/>
          <w:color w:val="0D0D0D" w:themeColor="text1" w:themeTint="F2"/>
          <w:sz w:val="24"/>
          <w:szCs w:val="24"/>
        </w:rPr>
        <w:t>, the manufacturer of ORS/Z and MSL, the distributor of ORS/Z to all 11 districts. To date 364, 000 kits have been manufactured with 88,100 yet to be delivered. Of the 364, 000 delivered to MSL, 260,000Kits were delivered to 11 districts.</w:t>
      </w:r>
    </w:p>
    <w:p w:rsidR="00676551" w:rsidRPr="003A0483" w:rsidRDefault="00676551">
      <w:pPr>
        <w:rPr>
          <w:rFonts w:ascii="Century Gothic" w:hAnsi="Century Gothic"/>
          <w:color w:val="0D0D0D" w:themeColor="text1" w:themeTint="F2"/>
          <w:sz w:val="24"/>
          <w:szCs w:val="24"/>
        </w:rPr>
      </w:pPr>
    </w:p>
    <w:sectPr w:rsidR="00676551" w:rsidRPr="003A0483" w:rsidSect="002B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483"/>
    <w:rsid w:val="002B0FCE"/>
    <w:rsid w:val="003A0483"/>
    <w:rsid w:val="0067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1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423">
                      <w:marLeft w:val="225"/>
                      <w:marRight w:val="225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92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3F3F3"/>
                                        <w:left w:val="single" w:sz="2" w:space="0" w:color="F3F3F3"/>
                                        <w:bottom w:val="single" w:sz="2" w:space="0" w:color="F3F3F3"/>
                                        <w:right w:val="single" w:sz="2" w:space="0" w:color="F3F3F3"/>
                                      </w:divBdr>
                                      <w:divsChild>
                                        <w:div w:id="1540585002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2246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2018-07-19T11:02:00Z</dcterms:created>
  <dcterms:modified xsi:type="dcterms:W3CDTF">2018-07-19T11:11:00Z</dcterms:modified>
</cp:coreProperties>
</file>